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9" w:rsidRDefault="00EB4CD9" w:rsidP="00EB4CD9">
      <w:pPr>
        <w:pStyle w:val="berschrift1"/>
      </w:pPr>
      <w:bookmarkStart w:id="0" w:name="_GoBack"/>
      <w:bookmarkEnd w:id="0"/>
      <w:r>
        <w:t xml:space="preserve">Muster </w:t>
      </w:r>
      <w:r w:rsidR="00DF4BCA">
        <w:t>1</w:t>
      </w:r>
      <w:r w:rsidR="00EF6CBD">
        <w:t>1</w:t>
      </w:r>
    </w:p>
    <w:p w:rsidR="00EB4CD9" w:rsidRDefault="00CE35B5" w:rsidP="00EB4CD9">
      <w:pPr>
        <w:jc w:val="right"/>
        <w:rPr>
          <w:rFonts w:ascii="Arial" w:hAnsi="Arial"/>
        </w:rPr>
      </w:pPr>
      <w:r>
        <w:rPr>
          <w:rFonts w:ascii="Arial" w:hAnsi="Arial"/>
        </w:rPr>
        <w:t>z</w:t>
      </w:r>
      <w:r w:rsidR="0049760B">
        <w:rPr>
          <w:rFonts w:ascii="Arial" w:hAnsi="Arial"/>
        </w:rPr>
        <w:t xml:space="preserve">u § </w:t>
      </w:r>
      <w:r w:rsidR="005E4D6C">
        <w:rPr>
          <w:rFonts w:ascii="Arial" w:hAnsi="Arial"/>
        </w:rPr>
        <w:t>4 Abs. 2</w:t>
      </w:r>
    </w:p>
    <w:p w:rsidR="00EB4CD9" w:rsidRPr="00D842C6" w:rsidRDefault="00CF135C" w:rsidP="00EB4CD9">
      <w:pPr>
        <w:jc w:val="center"/>
        <w:rPr>
          <w:rFonts w:ascii="Arial" w:hAnsi="Arial"/>
          <w:b/>
          <w:sz w:val="28"/>
          <w:szCs w:val="28"/>
        </w:rPr>
      </w:pPr>
      <w:r w:rsidRPr="00D842C6">
        <w:rPr>
          <w:rFonts w:ascii="Arial" w:hAnsi="Arial"/>
          <w:b/>
          <w:sz w:val="28"/>
          <w:szCs w:val="28"/>
        </w:rPr>
        <w:t>Produkt</w:t>
      </w:r>
      <w:r w:rsidR="00465D8D">
        <w:rPr>
          <w:rFonts w:ascii="Arial" w:hAnsi="Arial"/>
          <w:b/>
          <w:sz w:val="28"/>
          <w:szCs w:val="28"/>
        </w:rPr>
        <w:t>bereichs</w:t>
      </w:r>
      <w:r w:rsidRPr="00D842C6">
        <w:rPr>
          <w:rFonts w:ascii="Arial" w:hAnsi="Arial"/>
          <w:b/>
          <w:sz w:val="28"/>
          <w:szCs w:val="28"/>
        </w:rPr>
        <w:t>plan</w:t>
      </w:r>
    </w:p>
    <w:p w:rsidR="00EB4CD9" w:rsidRDefault="00EB4CD9" w:rsidP="00EB4CD9">
      <w:pPr>
        <w:jc w:val="center"/>
        <w:rPr>
          <w:rFonts w:ascii="Arial" w:hAnsi="Arial"/>
        </w:rPr>
      </w:pPr>
    </w:p>
    <w:p w:rsidR="00F63B83" w:rsidRPr="00E63DD7" w:rsidRDefault="00F63B83" w:rsidP="00EB4CD9">
      <w:pPr>
        <w:rPr>
          <w:rFonts w:ascii="Arial" w:hAnsi="Arial" w:cs="Arial"/>
          <w:strike/>
          <w:sz w:val="16"/>
          <w:szCs w:val="22"/>
        </w:rPr>
      </w:pPr>
    </w:p>
    <w:p w:rsidR="003A2EB9" w:rsidRPr="00E63DD7" w:rsidRDefault="0034775B" w:rsidP="003A2E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Der Ergebnishaushalt und der Finanzhaushalt </w:t>
      </w:r>
      <w:r w:rsidR="006150C8" w:rsidRPr="00E63DD7">
        <w:rPr>
          <w:rFonts w:ascii="Arial" w:hAnsi="Arial" w:cs="Arial"/>
          <w:sz w:val="22"/>
        </w:rPr>
        <w:t>sind</w:t>
      </w:r>
      <w:r w:rsidR="00F63B83" w:rsidRPr="00E63DD7">
        <w:rPr>
          <w:rFonts w:ascii="Arial" w:hAnsi="Arial" w:cs="Arial"/>
          <w:sz w:val="22"/>
        </w:rPr>
        <w:t xml:space="preserve"> </w:t>
      </w:r>
      <w:r w:rsidR="007D5298" w:rsidRPr="00E63DD7">
        <w:rPr>
          <w:rFonts w:ascii="Arial" w:hAnsi="Arial" w:cs="Arial"/>
          <w:sz w:val="22"/>
        </w:rPr>
        <w:t>n</w:t>
      </w:r>
      <w:r w:rsidR="00F63B83" w:rsidRPr="00E63DD7">
        <w:rPr>
          <w:rFonts w:ascii="Arial" w:hAnsi="Arial" w:cs="Arial"/>
          <w:sz w:val="22"/>
          <w:szCs w:val="24"/>
        </w:rPr>
        <w:t xml:space="preserve">ach folgenden verbindlichen Produktbereichen und in der ausgewiesenen Reihenfolge </w:t>
      </w:r>
      <w:r>
        <w:rPr>
          <w:rFonts w:ascii="Arial" w:hAnsi="Arial" w:cs="Arial"/>
          <w:sz w:val="22"/>
          <w:szCs w:val="24"/>
        </w:rPr>
        <w:t xml:space="preserve">in Teilhaushalte </w:t>
      </w:r>
      <w:r w:rsidR="00F63B83" w:rsidRPr="00E63DD7">
        <w:rPr>
          <w:rFonts w:ascii="Arial" w:hAnsi="Arial" w:cs="Arial"/>
          <w:sz w:val="22"/>
          <w:szCs w:val="24"/>
        </w:rPr>
        <w:t>zu gliedern</w:t>
      </w:r>
      <w:r w:rsidR="003A2EB9" w:rsidRPr="00E63DD7">
        <w:rPr>
          <w:rFonts w:ascii="Arial" w:hAnsi="Arial" w:cs="Arial"/>
          <w:sz w:val="22"/>
          <w:szCs w:val="24"/>
        </w:rPr>
        <w:t xml:space="preserve">. </w:t>
      </w:r>
      <w:r w:rsidR="003A2EB9" w:rsidRPr="00E63DD7">
        <w:rPr>
          <w:rFonts w:ascii="Arial" w:hAnsi="Arial" w:cs="Arial"/>
          <w:sz w:val="22"/>
          <w:szCs w:val="22"/>
        </w:rPr>
        <w:t xml:space="preserve">Erfolgt die Gliederung </w:t>
      </w:r>
      <w:r>
        <w:rPr>
          <w:rFonts w:ascii="Arial" w:hAnsi="Arial" w:cs="Arial"/>
          <w:sz w:val="22"/>
          <w:szCs w:val="22"/>
        </w:rPr>
        <w:t>in</w:t>
      </w:r>
      <w:r w:rsidRPr="00E63DD7">
        <w:rPr>
          <w:rFonts w:ascii="Arial" w:hAnsi="Arial" w:cs="Arial"/>
          <w:sz w:val="22"/>
          <w:szCs w:val="22"/>
        </w:rPr>
        <w:t xml:space="preserve"> </w:t>
      </w:r>
      <w:r w:rsidR="003A2EB9" w:rsidRPr="00E63DD7">
        <w:rPr>
          <w:rFonts w:ascii="Arial" w:hAnsi="Arial" w:cs="Arial"/>
          <w:sz w:val="22"/>
          <w:szCs w:val="22"/>
        </w:rPr>
        <w:t xml:space="preserve">Teilhaushalte organisationsbezogen oder nach örtlichen Produktgruppen und Produkten, so ist dem Haushaltsplan eine </w:t>
      </w:r>
      <w:r w:rsidR="00465D8D">
        <w:rPr>
          <w:rFonts w:ascii="Arial" w:hAnsi="Arial" w:cs="Arial"/>
          <w:sz w:val="22"/>
          <w:szCs w:val="22"/>
        </w:rPr>
        <w:t>Ü</w:t>
      </w:r>
      <w:r w:rsidR="003A2EB9" w:rsidRPr="00E63DD7">
        <w:rPr>
          <w:rFonts w:ascii="Arial" w:hAnsi="Arial" w:cs="Arial"/>
          <w:sz w:val="22"/>
          <w:szCs w:val="22"/>
        </w:rPr>
        <w:t>bersicht nach dieser Gliederung mit den auf die Produktbereiche entfallenden Erträge</w:t>
      </w:r>
      <w:r w:rsidR="007B4D2A">
        <w:rPr>
          <w:rFonts w:ascii="Arial" w:hAnsi="Arial" w:cs="Arial"/>
          <w:sz w:val="22"/>
          <w:szCs w:val="22"/>
        </w:rPr>
        <w:t>n</w:t>
      </w:r>
      <w:r w:rsidR="003A2EB9" w:rsidRPr="00E63DD7">
        <w:rPr>
          <w:rFonts w:ascii="Arial" w:hAnsi="Arial" w:cs="Arial"/>
          <w:sz w:val="22"/>
          <w:szCs w:val="22"/>
        </w:rPr>
        <w:t xml:space="preserve"> und Aufwendungen</w:t>
      </w:r>
      <w:r>
        <w:rPr>
          <w:rFonts w:ascii="Arial" w:hAnsi="Arial" w:cs="Arial"/>
          <w:sz w:val="22"/>
          <w:szCs w:val="22"/>
        </w:rPr>
        <w:t xml:space="preserve"> und Einzahlungen und Auszahlungen</w:t>
      </w:r>
      <w:r w:rsidR="003A2EB9" w:rsidRPr="00E63DD7">
        <w:rPr>
          <w:rFonts w:ascii="Arial" w:hAnsi="Arial" w:cs="Arial"/>
          <w:sz w:val="22"/>
          <w:szCs w:val="22"/>
        </w:rPr>
        <w:t xml:space="preserve"> beizufügen.</w:t>
      </w:r>
    </w:p>
    <w:p w:rsidR="00F63B83" w:rsidRPr="00E63DD7" w:rsidRDefault="00F63B83" w:rsidP="00F63B83">
      <w:pPr>
        <w:tabs>
          <w:tab w:val="left" w:pos="0"/>
        </w:tabs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780"/>
      </w:tblGrid>
      <w:tr w:rsidR="00F63B83" w:rsidRPr="006914CD" w:rsidTr="001539EF">
        <w:trPr>
          <w:trHeight w:val="567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B83" w:rsidRPr="001539EF" w:rsidRDefault="00F63B83" w:rsidP="005C29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EF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5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EF">
              <w:rPr>
                <w:rFonts w:ascii="Arial" w:hAnsi="Arial" w:cs="Arial"/>
                <w:b/>
                <w:sz w:val="24"/>
                <w:szCs w:val="24"/>
              </w:rPr>
              <w:t>Produktbereich</w:t>
            </w:r>
          </w:p>
        </w:tc>
      </w:tr>
      <w:tr w:rsidR="00F63B83" w:rsidTr="006914CD">
        <w:trPr>
          <w:trHeight w:val="287"/>
        </w:trPr>
        <w:tc>
          <w:tcPr>
            <w:tcW w:w="628" w:type="dxa"/>
            <w:tcBorders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01</w:t>
            </w:r>
          </w:p>
        </w:tc>
        <w:tc>
          <w:tcPr>
            <w:tcW w:w="5780" w:type="dxa"/>
            <w:tcBorders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Innere Verwaltung</w:t>
            </w:r>
          </w:p>
        </w:tc>
      </w:tr>
      <w:tr w:rsidR="00F63B83" w:rsidTr="006914CD">
        <w:trPr>
          <w:trHeight w:val="361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02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Sicherheit und Ordnung</w:t>
            </w:r>
          </w:p>
        </w:tc>
      </w:tr>
      <w:tr w:rsidR="00F63B83" w:rsidTr="006914CD">
        <w:trPr>
          <w:trHeight w:val="359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03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Schulträgeraufgaben</w:t>
            </w:r>
          </w:p>
        </w:tc>
      </w:tr>
      <w:tr w:rsidR="00F63B83" w:rsidRPr="006914CD" w:rsidTr="006914CD">
        <w:trPr>
          <w:trHeight w:val="355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04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Kultur und Wissenschaft</w:t>
            </w:r>
          </w:p>
        </w:tc>
      </w:tr>
      <w:tr w:rsidR="00F63B83" w:rsidRPr="006914CD" w:rsidTr="006914CD">
        <w:trPr>
          <w:trHeight w:val="355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05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Soziale Leistungen</w:t>
            </w:r>
          </w:p>
        </w:tc>
      </w:tr>
      <w:tr w:rsidR="00F63B83" w:rsidRPr="006914CD" w:rsidTr="006914CD">
        <w:trPr>
          <w:trHeight w:val="351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06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Kinder-, Jugend- und Familienhilfe</w:t>
            </w:r>
          </w:p>
        </w:tc>
      </w:tr>
      <w:tr w:rsidR="00F63B83" w:rsidRPr="006914CD" w:rsidTr="006914CD">
        <w:trPr>
          <w:trHeight w:val="375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07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Gesundheitsdienste</w:t>
            </w:r>
          </w:p>
        </w:tc>
      </w:tr>
      <w:tr w:rsidR="00F63B83" w:rsidRPr="006914CD" w:rsidTr="006914CD">
        <w:trPr>
          <w:trHeight w:val="447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08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Sportförderung</w:t>
            </w:r>
          </w:p>
        </w:tc>
      </w:tr>
      <w:tr w:rsidR="00F63B83" w:rsidRPr="006914CD" w:rsidTr="006914CD">
        <w:trPr>
          <w:trHeight w:val="413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09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Räumliche Planung und Entwicklung, Geoinformationen</w:t>
            </w:r>
          </w:p>
        </w:tc>
      </w:tr>
      <w:tr w:rsidR="00F63B83" w:rsidTr="006914CD">
        <w:trPr>
          <w:trHeight w:val="393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10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Bauen und Wohnen</w:t>
            </w:r>
          </w:p>
        </w:tc>
      </w:tr>
      <w:tr w:rsidR="00F63B83" w:rsidTr="006914CD">
        <w:trPr>
          <w:trHeight w:val="373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11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Ver- und Entsorgung</w:t>
            </w:r>
          </w:p>
        </w:tc>
      </w:tr>
      <w:tr w:rsidR="00F63B83" w:rsidTr="006914CD">
        <w:trPr>
          <w:trHeight w:hRule="exact" w:val="356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12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Verkehrsflächen und –anlagen, ÖPNV</w:t>
            </w:r>
          </w:p>
        </w:tc>
      </w:tr>
      <w:tr w:rsidR="00F63B83" w:rsidTr="006914CD">
        <w:trPr>
          <w:trHeight w:val="353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13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Natur- und Landschaftspflege</w:t>
            </w:r>
          </w:p>
        </w:tc>
      </w:tr>
      <w:tr w:rsidR="00F63B83" w:rsidTr="006914CD">
        <w:trPr>
          <w:trHeight w:val="349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14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Umweltschutz</w:t>
            </w:r>
          </w:p>
        </w:tc>
      </w:tr>
      <w:tr w:rsidR="00F63B83" w:rsidTr="006914CD">
        <w:trPr>
          <w:trHeight w:val="358"/>
        </w:trPr>
        <w:tc>
          <w:tcPr>
            <w:tcW w:w="6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15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Wirtschaft und Tourismus</w:t>
            </w:r>
          </w:p>
        </w:tc>
      </w:tr>
      <w:tr w:rsidR="00F63B83" w:rsidTr="006914CD">
        <w:trPr>
          <w:trHeight w:val="369"/>
        </w:trPr>
        <w:tc>
          <w:tcPr>
            <w:tcW w:w="6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16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3B83" w:rsidRPr="006914CD" w:rsidRDefault="00F63B83" w:rsidP="005C2954">
            <w:pPr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Allgemeine Finanzwirtschaft</w:t>
            </w:r>
          </w:p>
        </w:tc>
      </w:tr>
    </w:tbl>
    <w:p w:rsidR="00F63B83" w:rsidRDefault="00F63B83" w:rsidP="00F63B83">
      <w:pPr>
        <w:rPr>
          <w:rFonts w:ascii="Arial" w:hAnsi="Arial" w:cs="Arial"/>
          <w:sz w:val="22"/>
          <w:szCs w:val="22"/>
        </w:rPr>
      </w:pPr>
    </w:p>
    <w:p w:rsidR="00266308" w:rsidRDefault="00266308" w:rsidP="00F63B83">
      <w:pPr>
        <w:rPr>
          <w:rFonts w:ascii="Arial" w:hAnsi="Arial" w:cs="Arial"/>
          <w:sz w:val="22"/>
          <w:szCs w:val="22"/>
        </w:rPr>
      </w:pPr>
    </w:p>
    <w:p w:rsidR="00E21BB4" w:rsidRPr="00E63DD7" w:rsidRDefault="0034775B" w:rsidP="00E21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6727F" w:rsidRPr="00E63DD7">
        <w:rPr>
          <w:rFonts w:ascii="Arial" w:hAnsi="Arial" w:cs="Arial"/>
          <w:sz w:val="22"/>
          <w:szCs w:val="22"/>
        </w:rPr>
        <w:t xml:space="preserve">ür die </w:t>
      </w:r>
      <w:r>
        <w:rPr>
          <w:rFonts w:ascii="Arial" w:hAnsi="Arial" w:cs="Arial"/>
          <w:sz w:val="22"/>
          <w:szCs w:val="22"/>
        </w:rPr>
        <w:t xml:space="preserve">Gliederung in </w:t>
      </w:r>
      <w:r w:rsidRPr="00E63DD7">
        <w:rPr>
          <w:rFonts w:ascii="Arial" w:hAnsi="Arial" w:cs="Arial"/>
          <w:sz w:val="22"/>
          <w:szCs w:val="22"/>
        </w:rPr>
        <w:t>Teilhaushalt</w:t>
      </w:r>
      <w:r>
        <w:rPr>
          <w:rFonts w:ascii="Arial" w:hAnsi="Arial" w:cs="Arial"/>
          <w:sz w:val="22"/>
          <w:szCs w:val="22"/>
        </w:rPr>
        <w:t>e</w:t>
      </w:r>
      <w:r w:rsidRPr="00E63D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wird </w:t>
      </w:r>
      <w:r w:rsidR="00E21BB4" w:rsidRPr="00E63DD7">
        <w:rPr>
          <w:rFonts w:ascii="Arial" w:hAnsi="Arial" w:cs="Arial"/>
          <w:sz w:val="22"/>
          <w:szCs w:val="22"/>
        </w:rPr>
        <w:t>empfohlen</w:t>
      </w:r>
      <w:r w:rsidR="003149A2" w:rsidRPr="00E63DD7">
        <w:rPr>
          <w:rFonts w:ascii="Arial" w:hAnsi="Arial" w:cs="Arial"/>
          <w:sz w:val="22"/>
          <w:szCs w:val="22"/>
        </w:rPr>
        <w:t>,</w:t>
      </w:r>
      <w:r w:rsidR="00E21BB4" w:rsidRPr="00E63DD7">
        <w:rPr>
          <w:rFonts w:ascii="Arial" w:hAnsi="Arial" w:cs="Arial"/>
          <w:sz w:val="22"/>
          <w:szCs w:val="22"/>
        </w:rPr>
        <w:t xml:space="preserve"> </w:t>
      </w:r>
      <w:r w:rsidR="00393C67" w:rsidRPr="00E63DD7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verbindlichen</w:t>
      </w:r>
      <w:r w:rsidRPr="00E63DD7">
        <w:rPr>
          <w:rFonts w:ascii="Arial" w:hAnsi="Arial" w:cs="Arial"/>
          <w:sz w:val="22"/>
          <w:szCs w:val="22"/>
        </w:rPr>
        <w:t xml:space="preserve"> </w:t>
      </w:r>
      <w:r w:rsidR="00393C67" w:rsidRPr="00E63DD7">
        <w:rPr>
          <w:rFonts w:ascii="Arial" w:hAnsi="Arial" w:cs="Arial"/>
          <w:sz w:val="22"/>
          <w:szCs w:val="22"/>
        </w:rPr>
        <w:t xml:space="preserve">Produktbereiche </w:t>
      </w:r>
      <w:r>
        <w:rPr>
          <w:rFonts w:ascii="Arial" w:hAnsi="Arial" w:cs="Arial"/>
          <w:sz w:val="22"/>
          <w:szCs w:val="22"/>
        </w:rPr>
        <w:t xml:space="preserve">wie folgt </w:t>
      </w:r>
      <w:r w:rsidR="00E21BB4" w:rsidRPr="00E63DD7">
        <w:rPr>
          <w:rFonts w:ascii="Arial" w:hAnsi="Arial" w:cs="Arial"/>
          <w:sz w:val="22"/>
          <w:szCs w:val="22"/>
        </w:rPr>
        <w:t xml:space="preserve">nach Produktgruppen </w:t>
      </w:r>
      <w:r w:rsidR="00393C67" w:rsidRPr="00E63DD7">
        <w:rPr>
          <w:rFonts w:ascii="Arial" w:hAnsi="Arial" w:cs="Arial"/>
          <w:sz w:val="22"/>
          <w:szCs w:val="22"/>
        </w:rPr>
        <w:t>zu gliedern</w:t>
      </w:r>
      <w:r w:rsidR="00E21BB4" w:rsidRPr="00E63DD7">
        <w:rPr>
          <w:rFonts w:ascii="Arial" w:hAnsi="Arial" w:cs="Arial"/>
          <w:sz w:val="22"/>
          <w:szCs w:val="22"/>
        </w:rPr>
        <w:t>:</w:t>
      </w:r>
    </w:p>
    <w:p w:rsidR="00393C67" w:rsidRPr="00B46F1E" w:rsidRDefault="00393C67" w:rsidP="00E21B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42"/>
      </w:tblGrid>
      <w:tr w:rsidR="008B1D5A" w:rsidRPr="006914CD" w:rsidTr="006914CD">
        <w:tc>
          <w:tcPr>
            <w:tcW w:w="4605" w:type="dxa"/>
          </w:tcPr>
          <w:p w:rsidR="008B1D5A" w:rsidRPr="006914CD" w:rsidRDefault="008B1D5A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4CD">
              <w:rPr>
                <w:rFonts w:ascii="Arial" w:hAnsi="Arial" w:cs="Arial"/>
                <w:b/>
                <w:bCs/>
                <w:sz w:val="22"/>
                <w:szCs w:val="22"/>
              </w:rPr>
              <w:t>Produktbereich</w:t>
            </w:r>
          </w:p>
        </w:tc>
        <w:tc>
          <w:tcPr>
            <w:tcW w:w="4605" w:type="dxa"/>
          </w:tcPr>
          <w:p w:rsidR="008B1D5A" w:rsidRPr="006914CD" w:rsidRDefault="008B1D5A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4CD">
              <w:rPr>
                <w:rFonts w:ascii="Arial" w:hAnsi="Arial" w:cs="Arial"/>
                <w:b/>
                <w:bCs/>
                <w:sz w:val="22"/>
                <w:szCs w:val="22"/>
              </w:rPr>
              <w:t>Produktgruppe</w:t>
            </w:r>
          </w:p>
        </w:tc>
      </w:tr>
      <w:tr w:rsidR="008B1D5A" w:rsidRPr="006914CD" w:rsidTr="006914CD">
        <w:tc>
          <w:tcPr>
            <w:tcW w:w="4605" w:type="dxa"/>
          </w:tcPr>
          <w:p w:rsidR="008B1D5A" w:rsidRPr="006914CD" w:rsidRDefault="008B1D5A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4CD">
              <w:rPr>
                <w:rFonts w:ascii="MetaMediumLF-Roman" w:hAnsi="MetaMediumLF-Roman" w:cs="MetaMediumLF-Roman"/>
              </w:rPr>
              <w:t>Innere Verwaltung</w:t>
            </w:r>
          </w:p>
        </w:tc>
        <w:tc>
          <w:tcPr>
            <w:tcW w:w="4605" w:type="dxa"/>
          </w:tcPr>
          <w:p w:rsidR="008B1D5A" w:rsidRPr="006914CD" w:rsidRDefault="008B1D5A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Verwaltungssteuerung und -service</w:t>
            </w:r>
          </w:p>
        </w:tc>
      </w:tr>
      <w:tr w:rsidR="008B1D5A" w:rsidRPr="006914CD" w:rsidTr="006914CD">
        <w:tc>
          <w:tcPr>
            <w:tcW w:w="4605" w:type="dxa"/>
          </w:tcPr>
          <w:p w:rsidR="008B1D5A" w:rsidRPr="006914CD" w:rsidRDefault="008B1D5A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4CD">
              <w:rPr>
                <w:rFonts w:ascii="MetaMediumLF-Roman" w:hAnsi="MetaMediumLF-Roman" w:cs="MetaMediumLF-Roman"/>
              </w:rPr>
              <w:t>Sicherheit und Ordnung</w:t>
            </w:r>
          </w:p>
        </w:tc>
        <w:tc>
          <w:tcPr>
            <w:tcW w:w="4605" w:type="dxa"/>
          </w:tcPr>
          <w:p w:rsidR="008B1D5A" w:rsidRPr="006914CD" w:rsidRDefault="008B1D5A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Statistik und Wahlen</w:t>
            </w:r>
          </w:p>
          <w:p w:rsidR="008B1D5A" w:rsidRPr="006914CD" w:rsidRDefault="008B1D5A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Ordnungsangelegenheiten</w:t>
            </w:r>
          </w:p>
          <w:p w:rsidR="008B1D5A" w:rsidRPr="006914CD" w:rsidRDefault="008B1D5A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Brandschutz</w:t>
            </w:r>
          </w:p>
          <w:p w:rsidR="008B1D5A" w:rsidRPr="006914CD" w:rsidRDefault="008B1D5A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Rettungsdienst</w:t>
            </w:r>
          </w:p>
          <w:p w:rsidR="008B1D5A" w:rsidRPr="006914CD" w:rsidRDefault="00EF6CB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>
              <w:rPr>
                <w:rFonts w:ascii="MetaNormalLF-Roman" w:hAnsi="MetaNormalLF-Roman" w:cs="MetaNormalLF-Roman"/>
              </w:rPr>
              <w:t xml:space="preserve">Zivil- und </w:t>
            </w:r>
            <w:r w:rsidR="008B1D5A" w:rsidRPr="006914CD">
              <w:rPr>
                <w:rFonts w:ascii="MetaNormalLF-Roman" w:hAnsi="MetaNormalLF-Roman" w:cs="MetaNormalLF-Roman"/>
              </w:rPr>
              <w:t>Katastrophenschutz</w:t>
            </w:r>
          </w:p>
        </w:tc>
      </w:tr>
      <w:tr w:rsidR="008B1D5A" w:rsidRPr="006914CD" w:rsidTr="006914CD">
        <w:tc>
          <w:tcPr>
            <w:tcW w:w="4605" w:type="dxa"/>
          </w:tcPr>
          <w:p w:rsidR="008B1D5A" w:rsidRPr="006914CD" w:rsidRDefault="008B1D5A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4CD">
              <w:rPr>
                <w:rFonts w:ascii="MetaMediumLF-Roman" w:hAnsi="MetaMediumLF-Roman" w:cs="MetaMediumLF-Roman"/>
              </w:rPr>
              <w:t>Schulträgeraufgaben</w:t>
            </w:r>
          </w:p>
        </w:tc>
        <w:tc>
          <w:tcPr>
            <w:tcW w:w="4605" w:type="dxa"/>
          </w:tcPr>
          <w:p w:rsidR="008B1D5A" w:rsidRPr="006914CD" w:rsidRDefault="008B1D5A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Grundschulen</w:t>
            </w:r>
          </w:p>
          <w:p w:rsidR="008B1D5A" w:rsidRPr="006914CD" w:rsidRDefault="008B1D5A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Hauptschulen</w:t>
            </w:r>
          </w:p>
          <w:p w:rsidR="008B1D5A" w:rsidRPr="006914CD" w:rsidRDefault="008B1D5A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Kombinierte Grund- und Hauptschulen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Schulformunabhängige Orientierung</w:t>
            </w:r>
            <w:r w:rsidR="00856DD9" w:rsidRPr="006914CD">
              <w:rPr>
                <w:rFonts w:ascii="MetaNormalLF-Roman" w:hAnsi="MetaNormalLF-Roman" w:cs="MetaNormalLF-Roman"/>
              </w:rPr>
              <w:t>s</w:t>
            </w:r>
            <w:r w:rsidRPr="006914CD">
              <w:rPr>
                <w:rFonts w:ascii="MetaNormalLF-Roman" w:hAnsi="MetaNormalLF-Roman" w:cs="MetaNormalLF-Roman"/>
              </w:rPr>
              <w:t>stufe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Realschulen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Kombinierte Haupt- und Realschulen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Gymnasien, Kollegs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lastRenderedPageBreak/>
              <w:t>Gesamtschulen</w:t>
            </w:r>
          </w:p>
          <w:p w:rsidR="00A94696" w:rsidRPr="006914CD" w:rsidRDefault="009F4763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Förder</w:t>
            </w:r>
            <w:r w:rsidR="00A94696" w:rsidRPr="006914CD">
              <w:rPr>
                <w:rFonts w:ascii="MetaNormalLF-Roman" w:hAnsi="MetaNormalLF-Roman" w:cs="MetaNormalLF-Roman"/>
              </w:rPr>
              <w:t>schulen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Berufliche Schulen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Schülerbeförderung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Fördermaßnahmen für Schüler</w:t>
            </w:r>
          </w:p>
          <w:p w:rsidR="008B1D5A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Sonstige schulische Aufgaben</w:t>
            </w:r>
          </w:p>
        </w:tc>
      </w:tr>
      <w:tr w:rsidR="00A94696" w:rsidRPr="006914CD" w:rsidTr="006914CD">
        <w:tc>
          <w:tcPr>
            <w:tcW w:w="4605" w:type="dxa"/>
          </w:tcPr>
          <w:p w:rsidR="00A94696" w:rsidRPr="006914CD" w:rsidRDefault="00A9469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lastRenderedPageBreak/>
              <w:t>Kultur und Wissenschaft</w:t>
            </w:r>
          </w:p>
        </w:tc>
        <w:tc>
          <w:tcPr>
            <w:tcW w:w="4605" w:type="dxa"/>
          </w:tcPr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Wissenschaft und Forschung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Nichtwissenschaftliche Museen, Sammlungen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Zoologische und Botanische Gärten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Theater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Musikpflege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Musikschulen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Volkshochschulen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Büchereien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Sonstige Volksbildung</w:t>
            </w:r>
          </w:p>
          <w:p w:rsidR="00A94696" w:rsidRPr="006914CD" w:rsidRDefault="00A946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Heimat- und sonstige Kulturpflege</w:t>
            </w:r>
          </w:p>
          <w:p w:rsidR="00A94696" w:rsidRPr="006914CD" w:rsidRDefault="00A9469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both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Förderung von Kirchengemeinden und sonstigen Religionsgemeinschaften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Soziale Leistungen</w:t>
            </w:r>
          </w:p>
        </w:tc>
        <w:tc>
          <w:tcPr>
            <w:tcW w:w="4605" w:type="dxa"/>
          </w:tcPr>
          <w:p w:rsidR="00E066F6" w:rsidRPr="006914CD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Grundversorgung und Hilfen nach dem Zwölften Buch Sozialgesetzbuch (SGB XII)</w:t>
            </w:r>
          </w:p>
          <w:p w:rsidR="00E066F6" w:rsidRPr="006914CD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Grundsicherung für Arbeitsuchende nach dem Zweiten Buch Sozialgesetzbuch (SGB II)</w:t>
            </w:r>
          </w:p>
          <w:p w:rsidR="00E066F6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Hilfen für Asylbewerber</w:t>
            </w:r>
          </w:p>
          <w:p w:rsidR="000F27DF" w:rsidRPr="007B4D2A" w:rsidRDefault="000F27DF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5227BC">
              <w:rPr>
                <w:rFonts w:ascii="MetaNormalLF-Roman" w:hAnsi="MetaNormalLF-Roman" w:cs="MetaNormalLF-Roman"/>
              </w:rPr>
              <w:t>Eingliederungshilfe nach SGB IX</w:t>
            </w:r>
          </w:p>
          <w:p w:rsidR="00E066F6" w:rsidRPr="006914CD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Soziale Einrichtungen</w:t>
            </w:r>
          </w:p>
          <w:p w:rsidR="00E066F6" w:rsidRPr="006914CD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Leistungen nach dem Bundesversorgungsgesetz</w:t>
            </w:r>
          </w:p>
          <w:p w:rsidR="00E066F6" w:rsidRPr="006914CD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Förderung von Trägern der Wohlfahrtspflege</w:t>
            </w:r>
          </w:p>
          <w:p w:rsidR="00E066F6" w:rsidRPr="006914CD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Unterhaltsvorschussleistungen</w:t>
            </w:r>
          </w:p>
          <w:p w:rsidR="00E066F6" w:rsidRPr="006914CD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Betreuungsleistungen</w:t>
            </w:r>
          </w:p>
          <w:p w:rsidR="00E066F6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Hilfen für Heimkehrer und politische Häftlinge</w:t>
            </w:r>
          </w:p>
          <w:p w:rsidR="00337D12" w:rsidRPr="006914CD" w:rsidRDefault="00337D12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>
              <w:rPr>
                <w:rFonts w:ascii="MetaNormalLF-Roman" w:hAnsi="MetaNormalLF-Roman" w:cs="MetaNormalLF-Roman"/>
              </w:rPr>
              <w:t>Leistungen für Bildung und Teilhabe nach § 6b BKKG</w:t>
            </w:r>
          </w:p>
          <w:p w:rsidR="00E066F6" w:rsidRPr="006914CD" w:rsidRDefault="00E066F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Sonstige soziale Hilfen und Leistungen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Kinder-, Jugend- und Familienhilfe</w:t>
            </w:r>
          </w:p>
        </w:tc>
        <w:tc>
          <w:tcPr>
            <w:tcW w:w="4605" w:type="dxa"/>
          </w:tcPr>
          <w:p w:rsidR="00E6754D" w:rsidRPr="006914CD" w:rsidRDefault="00E675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Förderung von Kindern in Tageseinrichtungen und in Tagespflege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in Horten bzw. Einrichtungen für Schulkinder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in Tagespflege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MetaNormalLF-Roman" w:hAnsi="MetaNormalLF-Roman" w:cs="MetaNormalLF-Roman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in Tageseinrichtungen</w:t>
            </w:r>
          </w:p>
          <w:p w:rsidR="00E6754D" w:rsidRPr="006914CD" w:rsidRDefault="00E675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Jugendarbeit</w:t>
            </w:r>
          </w:p>
          <w:p w:rsidR="00E6754D" w:rsidRPr="006914CD" w:rsidRDefault="00E675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Sonstige Leistungen der Kinder-, Jugend</w:t>
            </w:r>
            <w:r w:rsidR="009F4763"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 xml:space="preserve"> und Familienhilfe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Jugendsozialarbeit (§ 13)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Erzieherischer Kinder- und Jugendschutz (§ 14)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Förderung der Erziehung in der Familie (§§ 16, 17, 18, 20, 21)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Förderung der Erziehung in der Familie (§ 19)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Hilfen zur Erziehung (§ 27)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Erziehungsberatung (§ 28)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Soziale Gruppenarbeit (§ 29)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lastRenderedPageBreak/>
              <w:t>-</w:t>
            </w:r>
            <w:r w:rsidRPr="006914CD">
              <w:rPr>
                <w:rFonts w:ascii="Arial" w:hAnsi="Arial" w:cs="Arial"/>
              </w:rPr>
              <w:tab/>
              <w:t>Erziehungsbeistand, Betreuungshelfer (§ 30)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Sozialpädagogische Familienhilfe (§</w:t>
            </w:r>
            <w:r w:rsidR="006513C3" w:rsidRPr="006914CD">
              <w:rPr>
                <w:rFonts w:ascii="Arial" w:hAnsi="Arial" w:cs="Arial"/>
              </w:rPr>
              <w:t> </w:t>
            </w:r>
            <w:r w:rsidRPr="006914CD">
              <w:rPr>
                <w:rFonts w:ascii="Arial" w:hAnsi="Arial" w:cs="Arial"/>
              </w:rPr>
              <w:t>31)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Erziehung in einer Tagesgruppe (§</w:t>
            </w:r>
            <w:r w:rsidR="006513C3" w:rsidRPr="006914CD">
              <w:rPr>
                <w:rFonts w:ascii="Arial" w:hAnsi="Arial" w:cs="Arial"/>
              </w:rPr>
              <w:t> </w:t>
            </w:r>
            <w:r w:rsidRPr="006914CD">
              <w:rPr>
                <w:rFonts w:ascii="Arial" w:hAnsi="Arial" w:cs="Arial"/>
              </w:rPr>
              <w:t>32)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Vollzeitpflege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Heimerziehung, sonstige betreute Wohnform (§ 34)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Intensive sozialpädagogische Einzelbetreuung (§ 35)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Hilfe für junge Volljährige (§ 41)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Vorläufige Maßnahmen zum Schutz von Kindern und Jugendlichen (§ 42)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Eingliederungshilfe für seelisch behinderte Kinder und Jugendliche (§ 35a)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Sonstige Aufgaben des örtlichen und überörtlichen Trägers (§§ 8a, 50-53, 55, 56, 58)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Mitarbeiterfortbildung (§§ 72, 74)</w:t>
            </w:r>
          </w:p>
          <w:p w:rsidR="00F71070" w:rsidRPr="006914CD" w:rsidRDefault="00F71070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Aufwendungen für sonstige Maßnahmen</w:t>
            </w:r>
          </w:p>
          <w:p w:rsidR="00E6754D" w:rsidRPr="006914CD" w:rsidRDefault="00E675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Tageseinrichtungen für Kinder</w:t>
            </w:r>
          </w:p>
          <w:p w:rsidR="000343C5" w:rsidRPr="006914CD" w:rsidRDefault="000343C5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Arial" w:hAnsi="Arial" w:cs="Arial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Horte bzw. Einrichtungen für Schulkinder</w:t>
            </w:r>
          </w:p>
          <w:p w:rsidR="000343C5" w:rsidRPr="006914CD" w:rsidRDefault="000343C5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MetaNormalLF-Roman" w:hAnsi="MetaNormalLF-Roman" w:cs="MetaNormalLF-Roman"/>
              </w:rPr>
            </w:pPr>
            <w:r w:rsidRPr="006914CD">
              <w:rPr>
                <w:rFonts w:ascii="Arial" w:hAnsi="Arial" w:cs="Arial"/>
              </w:rPr>
              <w:t>-</w:t>
            </w:r>
            <w:r w:rsidRPr="006914CD">
              <w:rPr>
                <w:rFonts w:ascii="Arial" w:hAnsi="Arial" w:cs="Arial"/>
              </w:rPr>
              <w:tab/>
              <w:t>Andere Tageseinrichtungen für Kinder</w:t>
            </w:r>
          </w:p>
          <w:p w:rsidR="00E6754D" w:rsidRPr="006914CD" w:rsidRDefault="00E675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Einrichtungen der Jugendarbeit</w:t>
            </w:r>
          </w:p>
          <w:p w:rsidR="00E066F6" w:rsidRPr="006914CD" w:rsidRDefault="00E675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Sonstige Einrichtungen der Kinder-, Jugend</w:t>
            </w:r>
            <w:r w:rsidR="009F4763"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 xml:space="preserve"> und Familienhilfe</w:t>
            </w:r>
          </w:p>
          <w:p w:rsidR="000343C5" w:rsidRPr="006914CD" w:rsidRDefault="000343C5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Einrichtungen der Jugendsozialarbeit</w:t>
            </w:r>
          </w:p>
          <w:p w:rsidR="000343C5" w:rsidRPr="006914CD" w:rsidRDefault="000343C5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Einrichtungen der Familienförderung</w:t>
            </w:r>
          </w:p>
          <w:p w:rsidR="000343C5" w:rsidRPr="006914CD" w:rsidRDefault="000343C5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Einrichtungen für werdende Mütter und für Mütter oder Väter mit Kind(ern)</w:t>
            </w:r>
          </w:p>
          <w:p w:rsidR="000343C5" w:rsidRPr="006914CD" w:rsidRDefault="000343C5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Erziehungs-, Jugend- und Familienberatungsstellen</w:t>
            </w:r>
          </w:p>
          <w:p w:rsidR="000343C5" w:rsidRPr="006914CD" w:rsidRDefault="000343C5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Einrichtungen für Hilfen zur Erziehung und Hilfen für junge Volljährige sowie für die Inobhutnahme</w:t>
            </w:r>
          </w:p>
          <w:p w:rsidR="000343C5" w:rsidRPr="006914CD" w:rsidRDefault="000343C5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Einrichtungen der Mitarbeiterfortbildung</w:t>
            </w:r>
          </w:p>
          <w:p w:rsidR="000343C5" w:rsidRPr="006914CD" w:rsidRDefault="000343C5" w:rsidP="006914CD">
            <w:pPr>
              <w:autoSpaceDE w:val="0"/>
              <w:autoSpaceDN w:val="0"/>
              <w:adjustRightInd w:val="0"/>
              <w:spacing w:after="60"/>
              <w:ind w:left="924" w:hanging="284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-</w:t>
            </w:r>
            <w:r w:rsidRPr="006914CD">
              <w:rPr>
                <w:rFonts w:ascii="MetaNormalLF-Roman" w:hAnsi="MetaNormalLF-Roman" w:cs="MetaNormalLF-Roman"/>
              </w:rPr>
              <w:tab/>
            </w:r>
            <w:r w:rsidRPr="006914CD">
              <w:rPr>
                <w:rFonts w:ascii="Arial" w:hAnsi="Arial" w:cs="Arial"/>
              </w:rPr>
              <w:t>Sonstige Einrichtungen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lastRenderedPageBreak/>
              <w:t>Gesundheitsdienste</w:t>
            </w:r>
          </w:p>
        </w:tc>
        <w:tc>
          <w:tcPr>
            <w:tcW w:w="4605" w:type="dxa"/>
          </w:tcPr>
          <w:p w:rsidR="002130C3" w:rsidRPr="006914CD" w:rsidRDefault="002130C3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Krankenhäuser</w:t>
            </w:r>
          </w:p>
          <w:p w:rsidR="002130C3" w:rsidRPr="006914CD" w:rsidRDefault="002130C3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Gesundheitseinrichtungen</w:t>
            </w:r>
          </w:p>
          <w:p w:rsidR="002130C3" w:rsidRPr="006914CD" w:rsidRDefault="002130C3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Maßnahmen der Gesundheitspflege</w:t>
            </w:r>
          </w:p>
          <w:p w:rsidR="00E066F6" w:rsidRPr="006914CD" w:rsidRDefault="002130C3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Kur- und Badeeinrichtungen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Sportförderung</w:t>
            </w:r>
          </w:p>
        </w:tc>
        <w:tc>
          <w:tcPr>
            <w:tcW w:w="4605" w:type="dxa"/>
          </w:tcPr>
          <w:p w:rsidR="00450E96" w:rsidRPr="006914CD" w:rsidRDefault="00450E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Förderung des Sports</w:t>
            </w:r>
          </w:p>
          <w:p w:rsidR="00E066F6" w:rsidRPr="006914CD" w:rsidRDefault="00450E9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Sportstätten und Bäder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Räumliche Planung und Entwicklung, Geoinformationen</w:t>
            </w:r>
          </w:p>
        </w:tc>
        <w:tc>
          <w:tcPr>
            <w:tcW w:w="4605" w:type="dxa"/>
          </w:tcPr>
          <w:p w:rsidR="00E066F6" w:rsidRPr="006914CD" w:rsidRDefault="00D94B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Räumliche Planungs- und Entwicklungsmaßnahmen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Bauen und Wohnen</w:t>
            </w:r>
          </w:p>
        </w:tc>
        <w:tc>
          <w:tcPr>
            <w:tcW w:w="4605" w:type="dxa"/>
          </w:tcPr>
          <w:p w:rsidR="00D94B4D" w:rsidRPr="006914CD" w:rsidRDefault="00D94B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Bau- und Grundstücksordnung</w:t>
            </w:r>
          </w:p>
          <w:p w:rsidR="00D94B4D" w:rsidRPr="006914CD" w:rsidRDefault="00D94B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Wohnbauförderung</w:t>
            </w:r>
          </w:p>
          <w:p w:rsidR="00E066F6" w:rsidRPr="006914CD" w:rsidRDefault="00D94B4D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Denkmalschutz und -pflege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Ver- und Entsorgung</w:t>
            </w:r>
          </w:p>
        </w:tc>
        <w:tc>
          <w:tcPr>
            <w:tcW w:w="4605" w:type="dxa"/>
          </w:tcPr>
          <w:p w:rsidR="004F6128" w:rsidRPr="006914CD" w:rsidRDefault="004F6128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Elektrizitätsversorgung</w:t>
            </w:r>
          </w:p>
          <w:p w:rsidR="004F6128" w:rsidRPr="006914CD" w:rsidRDefault="004F6128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Gasversorgung</w:t>
            </w:r>
          </w:p>
          <w:p w:rsidR="004F6128" w:rsidRPr="006914CD" w:rsidRDefault="004F6128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Wasserversorgung</w:t>
            </w:r>
          </w:p>
          <w:p w:rsidR="004F6128" w:rsidRPr="006914CD" w:rsidRDefault="004F6128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Fernwärmeversorgung</w:t>
            </w:r>
          </w:p>
          <w:p w:rsidR="004F6128" w:rsidRPr="006914CD" w:rsidRDefault="004F6128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Kombinierte Versorgung</w:t>
            </w:r>
          </w:p>
          <w:p w:rsidR="006513C3" w:rsidRPr="006914CD" w:rsidRDefault="00083C37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>
              <w:rPr>
                <w:rFonts w:ascii="Arial" w:hAnsi="Arial" w:cs="Arial"/>
              </w:rPr>
              <w:t>Versorgung mit technischer Informations- und Telekommunikationsstruktur</w:t>
            </w:r>
          </w:p>
          <w:p w:rsidR="004F6128" w:rsidRPr="006914CD" w:rsidRDefault="004F6128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Abfallwirtschaft</w:t>
            </w:r>
          </w:p>
          <w:p w:rsidR="00E066F6" w:rsidRPr="006914CD" w:rsidRDefault="004F6128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Abwasserbeseitigung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Verkehrsflächen und –anlagen, ÖPNV</w:t>
            </w:r>
          </w:p>
        </w:tc>
        <w:tc>
          <w:tcPr>
            <w:tcW w:w="4605" w:type="dxa"/>
          </w:tcPr>
          <w:p w:rsidR="005B4B06" w:rsidRPr="006914CD" w:rsidRDefault="005B4B0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Gemeindestraßen</w:t>
            </w:r>
          </w:p>
          <w:p w:rsidR="005B4B06" w:rsidRPr="006914CD" w:rsidRDefault="005B4B0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Kreisstraßen</w:t>
            </w:r>
          </w:p>
          <w:p w:rsidR="005B4B06" w:rsidRPr="006914CD" w:rsidRDefault="005B4B06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Landesstraßen</w:t>
            </w:r>
          </w:p>
          <w:p w:rsidR="00925E5C" w:rsidRPr="006914CD" w:rsidRDefault="00925E5C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Bundesstraßen</w:t>
            </w:r>
          </w:p>
          <w:p w:rsidR="00925E5C" w:rsidRPr="006914CD" w:rsidRDefault="00925E5C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Straßenreinigung</w:t>
            </w:r>
          </w:p>
          <w:p w:rsidR="00925E5C" w:rsidRPr="006914CD" w:rsidRDefault="00925E5C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Parkeinrichtungen</w:t>
            </w:r>
          </w:p>
          <w:p w:rsidR="00925E5C" w:rsidRPr="006914CD" w:rsidRDefault="00925E5C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ÖPNV</w:t>
            </w:r>
          </w:p>
          <w:p w:rsidR="00E066F6" w:rsidRPr="006914CD" w:rsidRDefault="00925E5C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Sonstiger Personen- und Güterverkehr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Natur- und Landschaftspflege</w:t>
            </w:r>
          </w:p>
        </w:tc>
        <w:tc>
          <w:tcPr>
            <w:tcW w:w="4605" w:type="dxa"/>
          </w:tcPr>
          <w:p w:rsidR="00731CE5" w:rsidRPr="006914CD" w:rsidRDefault="00731CE5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Öffentliches Grün / Landschaftsbau</w:t>
            </w:r>
          </w:p>
          <w:p w:rsidR="00731CE5" w:rsidRPr="006914CD" w:rsidRDefault="00731CE5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 xml:space="preserve">Öffentliche Gewässer / </w:t>
            </w:r>
            <w:r w:rsidR="00465D8D" w:rsidRPr="006914CD">
              <w:rPr>
                <w:rFonts w:ascii="MetaNormalLF-Roman" w:hAnsi="MetaNormalLF-Roman" w:cs="MetaNormalLF-Roman"/>
              </w:rPr>
              <w:t>w</w:t>
            </w:r>
            <w:r w:rsidRPr="006914CD">
              <w:rPr>
                <w:rFonts w:ascii="MetaNormalLF-Roman" w:hAnsi="MetaNormalLF-Roman" w:cs="MetaNormalLF-Roman"/>
              </w:rPr>
              <w:t>asserbauliche</w:t>
            </w:r>
          </w:p>
          <w:p w:rsidR="00731CE5" w:rsidRPr="006914CD" w:rsidRDefault="00731CE5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Anlagen</w:t>
            </w:r>
          </w:p>
          <w:p w:rsidR="00731CE5" w:rsidRPr="006914CD" w:rsidRDefault="00731CE5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Friedhofs- und Bestattungswesen</w:t>
            </w:r>
          </w:p>
          <w:p w:rsidR="00731CE5" w:rsidRPr="006914CD" w:rsidRDefault="00731CE5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Naturschutz und Landschaftspflege</w:t>
            </w:r>
          </w:p>
          <w:p w:rsidR="00E066F6" w:rsidRPr="006914CD" w:rsidRDefault="00731CE5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Land- und Forstwirtschaft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Umweltschutz</w:t>
            </w:r>
          </w:p>
        </w:tc>
        <w:tc>
          <w:tcPr>
            <w:tcW w:w="4605" w:type="dxa"/>
          </w:tcPr>
          <w:p w:rsidR="00E066F6" w:rsidRPr="006914CD" w:rsidRDefault="002E5BA2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Umweltschutzmaßnahmen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Wirtschaft und Tourismus</w:t>
            </w:r>
          </w:p>
        </w:tc>
        <w:tc>
          <w:tcPr>
            <w:tcW w:w="4605" w:type="dxa"/>
          </w:tcPr>
          <w:p w:rsidR="002E5BA2" w:rsidRPr="006914CD" w:rsidRDefault="002E5BA2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Wirtschaftsförderung</w:t>
            </w:r>
          </w:p>
          <w:p w:rsidR="002E5BA2" w:rsidRPr="006914CD" w:rsidRDefault="002E5BA2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Allgemeine Einrichtungen und Unternehmen</w:t>
            </w:r>
          </w:p>
          <w:p w:rsidR="00E066F6" w:rsidRPr="006914CD" w:rsidRDefault="002E5BA2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Tourismus</w:t>
            </w:r>
          </w:p>
        </w:tc>
      </w:tr>
      <w:tr w:rsidR="00E066F6" w:rsidRPr="006914CD" w:rsidTr="006914CD">
        <w:tc>
          <w:tcPr>
            <w:tcW w:w="4605" w:type="dxa"/>
          </w:tcPr>
          <w:p w:rsidR="00E066F6" w:rsidRPr="006914CD" w:rsidRDefault="00E066F6" w:rsidP="006914CD">
            <w:pPr>
              <w:tabs>
                <w:tab w:val="left" w:pos="-1080"/>
                <w:tab w:val="left" w:pos="-720"/>
                <w:tab w:val="left" w:pos="430"/>
                <w:tab w:val="left" w:pos="851"/>
                <w:tab w:val="left" w:pos="1677"/>
                <w:tab w:val="left" w:pos="3094"/>
                <w:tab w:val="left" w:pos="4795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MetaMediumLF-Roman" w:hAnsi="MetaMediumLF-Roman" w:cs="MetaMediumLF-Roman"/>
              </w:rPr>
            </w:pPr>
            <w:r w:rsidRPr="006914CD">
              <w:rPr>
                <w:rFonts w:ascii="MetaMediumLF-Roman" w:hAnsi="MetaMediumLF-Roman" w:cs="MetaMediumLF-Roman"/>
              </w:rPr>
              <w:t>Allgemeine Finanzwirtschaft</w:t>
            </w:r>
          </w:p>
        </w:tc>
        <w:tc>
          <w:tcPr>
            <w:tcW w:w="4605" w:type="dxa"/>
          </w:tcPr>
          <w:p w:rsidR="002E5BA2" w:rsidRPr="006914CD" w:rsidRDefault="002E5BA2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Steuern, allgemeine Zuweisungen, allgemeine Umlagen</w:t>
            </w:r>
          </w:p>
          <w:p w:rsidR="002E5BA2" w:rsidRPr="006914CD" w:rsidRDefault="002E5BA2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Sonstige allgemeine Finanzwirtschaft</w:t>
            </w:r>
          </w:p>
          <w:p w:rsidR="00E066F6" w:rsidRPr="006914CD" w:rsidRDefault="002E5BA2" w:rsidP="006914CD">
            <w:pPr>
              <w:autoSpaceDE w:val="0"/>
              <w:autoSpaceDN w:val="0"/>
              <w:adjustRightInd w:val="0"/>
              <w:spacing w:after="60"/>
              <w:rPr>
                <w:rFonts w:ascii="MetaNormalLF-Roman" w:hAnsi="MetaNormalLF-Roman" w:cs="MetaNormalLF-Roman"/>
              </w:rPr>
            </w:pPr>
            <w:r w:rsidRPr="006914CD">
              <w:rPr>
                <w:rFonts w:ascii="MetaNormalLF-Roman" w:hAnsi="MetaNormalLF-Roman" w:cs="MetaNormalLF-Roman"/>
              </w:rPr>
              <w:t>Abwicklung der Vorjahre</w:t>
            </w:r>
          </w:p>
        </w:tc>
      </w:tr>
    </w:tbl>
    <w:p w:rsidR="008E19D1" w:rsidRPr="00D2572F" w:rsidRDefault="008E19D1" w:rsidP="00F63B83">
      <w:pPr>
        <w:tabs>
          <w:tab w:val="left" w:pos="-1080"/>
          <w:tab w:val="left" w:pos="-720"/>
          <w:tab w:val="left" w:pos="430"/>
          <w:tab w:val="left" w:pos="851"/>
          <w:tab w:val="left" w:pos="1677"/>
          <w:tab w:val="left" w:pos="3094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</w:rPr>
      </w:pPr>
    </w:p>
    <w:p w:rsidR="003149A2" w:rsidRPr="00D2572F" w:rsidRDefault="003149A2" w:rsidP="00F63B83">
      <w:pPr>
        <w:tabs>
          <w:tab w:val="left" w:pos="-1080"/>
          <w:tab w:val="left" w:pos="-720"/>
          <w:tab w:val="left" w:pos="430"/>
          <w:tab w:val="left" w:pos="851"/>
          <w:tab w:val="left" w:pos="1677"/>
          <w:tab w:val="left" w:pos="3094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</w:rPr>
      </w:pPr>
    </w:p>
    <w:p w:rsidR="00C6727F" w:rsidRPr="00D2572F" w:rsidRDefault="003149A2" w:rsidP="00F63B83">
      <w:pPr>
        <w:tabs>
          <w:tab w:val="left" w:pos="-1080"/>
          <w:tab w:val="left" w:pos="-720"/>
          <w:tab w:val="left" w:pos="430"/>
          <w:tab w:val="left" w:pos="851"/>
          <w:tab w:val="left" w:pos="1677"/>
          <w:tab w:val="left" w:pos="3094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</w:rPr>
      </w:pPr>
      <w:r w:rsidRPr="00D2572F">
        <w:rPr>
          <w:rFonts w:ascii="Arial" w:hAnsi="Arial" w:cs="Arial"/>
          <w:bCs/>
          <w:sz w:val="22"/>
          <w:szCs w:val="22"/>
        </w:rPr>
        <w:t xml:space="preserve">Diese </w:t>
      </w:r>
      <w:r w:rsidR="00497F79">
        <w:rPr>
          <w:rFonts w:ascii="Arial" w:hAnsi="Arial" w:cs="Arial"/>
          <w:bCs/>
          <w:sz w:val="22"/>
          <w:szCs w:val="22"/>
        </w:rPr>
        <w:t>Gliederung</w:t>
      </w:r>
      <w:r w:rsidR="00497F79" w:rsidRPr="00D2572F">
        <w:rPr>
          <w:rFonts w:ascii="Arial" w:hAnsi="Arial" w:cs="Arial"/>
          <w:bCs/>
          <w:sz w:val="22"/>
          <w:szCs w:val="22"/>
        </w:rPr>
        <w:t xml:space="preserve"> </w:t>
      </w:r>
      <w:r w:rsidRPr="00D2572F">
        <w:rPr>
          <w:rFonts w:ascii="Arial" w:hAnsi="Arial" w:cs="Arial"/>
          <w:bCs/>
          <w:sz w:val="22"/>
          <w:szCs w:val="22"/>
        </w:rPr>
        <w:t xml:space="preserve">innerhalb der Produktbereiche entspricht </w:t>
      </w:r>
      <w:r w:rsidRPr="003A2EB9">
        <w:rPr>
          <w:rFonts w:ascii="Arial" w:hAnsi="Arial" w:cs="Arial"/>
          <w:bCs/>
          <w:sz w:val="22"/>
          <w:szCs w:val="22"/>
        </w:rPr>
        <w:t xml:space="preserve">den </w:t>
      </w:r>
      <w:r w:rsidR="00910F1B">
        <w:rPr>
          <w:rFonts w:ascii="Arial" w:hAnsi="Arial" w:cs="Arial"/>
          <w:bCs/>
          <w:sz w:val="22"/>
          <w:szCs w:val="22"/>
        </w:rPr>
        <w:t>Erhebungsmerkmalen für die</w:t>
      </w:r>
      <w:r w:rsidR="00497F79">
        <w:rPr>
          <w:rFonts w:ascii="Arial" w:hAnsi="Arial" w:cs="Arial"/>
          <w:bCs/>
          <w:sz w:val="22"/>
          <w:szCs w:val="22"/>
        </w:rPr>
        <w:t xml:space="preserve"> öffentlichen</w:t>
      </w:r>
      <w:r w:rsidR="00591E68" w:rsidRPr="003A2EB9">
        <w:rPr>
          <w:rFonts w:ascii="Arial" w:hAnsi="Arial" w:cs="Arial"/>
          <w:bCs/>
          <w:sz w:val="22"/>
          <w:szCs w:val="22"/>
        </w:rPr>
        <w:t xml:space="preserve"> Finanzstatistik</w:t>
      </w:r>
      <w:r w:rsidR="00497F79">
        <w:rPr>
          <w:rFonts w:ascii="Arial" w:hAnsi="Arial" w:cs="Arial"/>
          <w:bCs/>
          <w:sz w:val="22"/>
          <w:szCs w:val="22"/>
        </w:rPr>
        <w:t>en</w:t>
      </w:r>
      <w:r w:rsidR="00C6727F" w:rsidRPr="002F5581">
        <w:rPr>
          <w:rFonts w:ascii="Arial" w:hAnsi="Arial" w:cs="Arial"/>
          <w:bCs/>
          <w:sz w:val="22"/>
          <w:szCs w:val="22"/>
        </w:rPr>
        <w:t>.</w:t>
      </w:r>
      <w:r w:rsidRPr="002F5581">
        <w:rPr>
          <w:rFonts w:ascii="Arial" w:hAnsi="Arial" w:cs="Arial"/>
          <w:bCs/>
          <w:sz w:val="22"/>
          <w:szCs w:val="22"/>
        </w:rPr>
        <w:t xml:space="preserve"> </w:t>
      </w:r>
    </w:p>
    <w:p w:rsidR="00C6727F" w:rsidRPr="00D2572F" w:rsidRDefault="00C6727F" w:rsidP="00F63B83">
      <w:pPr>
        <w:tabs>
          <w:tab w:val="left" w:pos="-1080"/>
          <w:tab w:val="left" w:pos="-720"/>
          <w:tab w:val="left" w:pos="430"/>
          <w:tab w:val="left" w:pos="851"/>
          <w:tab w:val="left" w:pos="1677"/>
          <w:tab w:val="left" w:pos="3094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</w:rPr>
      </w:pPr>
    </w:p>
    <w:p w:rsidR="00AB213E" w:rsidRPr="00D2572F" w:rsidRDefault="003149A2" w:rsidP="00F63B83">
      <w:pPr>
        <w:tabs>
          <w:tab w:val="left" w:pos="-1080"/>
          <w:tab w:val="left" w:pos="-720"/>
          <w:tab w:val="left" w:pos="430"/>
          <w:tab w:val="left" w:pos="851"/>
          <w:tab w:val="left" w:pos="1677"/>
          <w:tab w:val="left" w:pos="3094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</w:rPr>
      </w:pPr>
      <w:r w:rsidRPr="00D2572F">
        <w:rPr>
          <w:rFonts w:ascii="Arial" w:hAnsi="Arial" w:cs="Arial"/>
          <w:bCs/>
          <w:sz w:val="22"/>
          <w:szCs w:val="22"/>
        </w:rPr>
        <w:t xml:space="preserve">Wird von der </w:t>
      </w:r>
      <w:r w:rsidR="00910F1B">
        <w:rPr>
          <w:rFonts w:ascii="Arial" w:hAnsi="Arial" w:cs="Arial"/>
          <w:bCs/>
          <w:sz w:val="22"/>
          <w:szCs w:val="22"/>
        </w:rPr>
        <w:t xml:space="preserve">empfohlenen </w:t>
      </w:r>
      <w:r w:rsidR="00497F79">
        <w:rPr>
          <w:rFonts w:ascii="Arial" w:hAnsi="Arial" w:cs="Arial"/>
          <w:bCs/>
          <w:sz w:val="22"/>
          <w:szCs w:val="22"/>
        </w:rPr>
        <w:t>Gliederung</w:t>
      </w:r>
      <w:r w:rsidR="00497F79" w:rsidRPr="00D2572F">
        <w:rPr>
          <w:rFonts w:ascii="Arial" w:hAnsi="Arial" w:cs="Arial"/>
          <w:bCs/>
          <w:sz w:val="22"/>
          <w:szCs w:val="22"/>
        </w:rPr>
        <w:t xml:space="preserve"> </w:t>
      </w:r>
      <w:r w:rsidRPr="00D2572F">
        <w:rPr>
          <w:rFonts w:ascii="Arial" w:hAnsi="Arial" w:cs="Arial"/>
          <w:bCs/>
          <w:sz w:val="22"/>
          <w:szCs w:val="22"/>
        </w:rPr>
        <w:t xml:space="preserve">abgewichen, ist sicherzustellen, dass die statistischen Meldungen nach der </w:t>
      </w:r>
      <w:r w:rsidR="00910F1B">
        <w:rPr>
          <w:rFonts w:ascii="Arial" w:hAnsi="Arial" w:cs="Arial"/>
          <w:bCs/>
          <w:sz w:val="22"/>
          <w:szCs w:val="22"/>
        </w:rPr>
        <w:t>dafür</w:t>
      </w:r>
      <w:r w:rsidRPr="00D2572F">
        <w:rPr>
          <w:rFonts w:ascii="Arial" w:hAnsi="Arial" w:cs="Arial"/>
          <w:bCs/>
          <w:sz w:val="22"/>
          <w:szCs w:val="22"/>
        </w:rPr>
        <w:t xml:space="preserve"> vorgegebenen S</w:t>
      </w:r>
      <w:r w:rsidR="00910F1B">
        <w:rPr>
          <w:rFonts w:ascii="Arial" w:hAnsi="Arial" w:cs="Arial"/>
          <w:bCs/>
          <w:sz w:val="22"/>
          <w:szCs w:val="22"/>
        </w:rPr>
        <w:t>ystematik</w:t>
      </w:r>
      <w:r w:rsidRPr="00D2572F">
        <w:rPr>
          <w:rFonts w:ascii="Arial" w:hAnsi="Arial" w:cs="Arial"/>
          <w:bCs/>
          <w:sz w:val="22"/>
          <w:szCs w:val="22"/>
        </w:rPr>
        <w:t xml:space="preserve"> </w:t>
      </w:r>
      <w:r w:rsidR="00EC7EF3">
        <w:rPr>
          <w:rFonts w:ascii="Arial" w:hAnsi="Arial" w:cs="Arial"/>
          <w:bCs/>
          <w:sz w:val="22"/>
          <w:szCs w:val="22"/>
        </w:rPr>
        <w:t>erfüllt werden</w:t>
      </w:r>
      <w:r w:rsidRPr="00D2572F">
        <w:rPr>
          <w:rFonts w:ascii="Arial" w:hAnsi="Arial" w:cs="Arial"/>
          <w:bCs/>
          <w:sz w:val="22"/>
          <w:szCs w:val="22"/>
        </w:rPr>
        <w:t>.</w:t>
      </w:r>
    </w:p>
    <w:sectPr w:rsidR="00AB213E" w:rsidRPr="00D2572F" w:rsidSect="00F63B8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EE" w:rsidRDefault="00EA4AEE">
      <w:r>
        <w:separator/>
      </w:r>
    </w:p>
  </w:endnote>
  <w:endnote w:type="continuationSeparator" w:id="0">
    <w:p w:rsidR="00EA4AEE" w:rsidRDefault="00EA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Medium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EE" w:rsidRDefault="00EA4AEE">
      <w:r>
        <w:separator/>
      </w:r>
    </w:p>
  </w:footnote>
  <w:footnote w:type="continuationSeparator" w:id="0">
    <w:p w:rsidR="00EA4AEE" w:rsidRDefault="00EA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428"/>
    <w:multiLevelType w:val="singleLevel"/>
    <w:tmpl w:val="3446E55E"/>
    <w:lvl w:ilvl="0">
      <w:start w:val="1"/>
      <w:numFmt w:val="bullet"/>
      <w:pStyle w:val="L12"/>
      <w:lvlText w:val="–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343C5"/>
    <w:rsid w:val="0004181E"/>
    <w:rsid w:val="0004748E"/>
    <w:rsid w:val="00056DF9"/>
    <w:rsid w:val="00070180"/>
    <w:rsid w:val="00072BBC"/>
    <w:rsid w:val="00083C37"/>
    <w:rsid w:val="00090D66"/>
    <w:rsid w:val="00093282"/>
    <w:rsid w:val="000B09A7"/>
    <w:rsid w:val="000B5CF5"/>
    <w:rsid w:val="000D107A"/>
    <w:rsid w:val="000E298B"/>
    <w:rsid w:val="000F27DF"/>
    <w:rsid w:val="001156C7"/>
    <w:rsid w:val="00150726"/>
    <w:rsid w:val="00152ED6"/>
    <w:rsid w:val="001539EF"/>
    <w:rsid w:val="0017650E"/>
    <w:rsid w:val="0018699A"/>
    <w:rsid w:val="002130C3"/>
    <w:rsid w:val="00230497"/>
    <w:rsid w:val="00232053"/>
    <w:rsid w:val="0023439C"/>
    <w:rsid w:val="00266308"/>
    <w:rsid w:val="002E5BA2"/>
    <w:rsid w:val="002F175E"/>
    <w:rsid w:val="002F5581"/>
    <w:rsid w:val="003003E4"/>
    <w:rsid w:val="003149A2"/>
    <w:rsid w:val="00317F1C"/>
    <w:rsid w:val="00321B89"/>
    <w:rsid w:val="0032241C"/>
    <w:rsid w:val="00327BFD"/>
    <w:rsid w:val="00337D12"/>
    <w:rsid w:val="0034775B"/>
    <w:rsid w:val="003612E7"/>
    <w:rsid w:val="00393C67"/>
    <w:rsid w:val="003A2EB9"/>
    <w:rsid w:val="003C4B3A"/>
    <w:rsid w:val="003D1EB4"/>
    <w:rsid w:val="003F6153"/>
    <w:rsid w:val="00404485"/>
    <w:rsid w:val="00416544"/>
    <w:rsid w:val="00450E96"/>
    <w:rsid w:val="00465D8D"/>
    <w:rsid w:val="0047386F"/>
    <w:rsid w:val="004910A1"/>
    <w:rsid w:val="00494C02"/>
    <w:rsid w:val="00496B63"/>
    <w:rsid w:val="0049760B"/>
    <w:rsid w:val="00497F79"/>
    <w:rsid w:val="004B297B"/>
    <w:rsid w:val="004F6128"/>
    <w:rsid w:val="005227BC"/>
    <w:rsid w:val="00575054"/>
    <w:rsid w:val="005861EB"/>
    <w:rsid w:val="00591E68"/>
    <w:rsid w:val="0059671E"/>
    <w:rsid w:val="005A63CF"/>
    <w:rsid w:val="005B4B06"/>
    <w:rsid w:val="005B60E2"/>
    <w:rsid w:val="005C2954"/>
    <w:rsid w:val="005E04A2"/>
    <w:rsid w:val="005E4D6C"/>
    <w:rsid w:val="005E6791"/>
    <w:rsid w:val="006150C8"/>
    <w:rsid w:val="00621BB8"/>
    <w:rsid w:val="00640307"/>
    <w:rsid w:val="006513C3"/>
    <w:rsid w:val="00661AF5"/>
    <w:rsid w:val="00661CF4"/>
    <w:rsid w:val="00686FFE"/>
    <w:rsid w:val="006914CD"/>
    <w:rsid w:val="00694EE2"/>
    <w:rsid w:val="006D71BA"/>
    <w:rsid w:val="006F710A"/>
    <w:rsid w:val="00702168"/>
    <w:rsid w:val="00722E97"/>
    <w:rsid w:val="00731CE5"/>
    <w:rsid w:val="00754386"/>
    <w:rsid w:val="00762DBB"/>
    <w:rsid w:val="00771E5A"/>
    <w:rsid w:val="00781C6E"/>
    <w:rsid w:val="007B2003"/>
    <w:rsid w:val="007B4D2A"/>
    <w:rsid w:val="007D5298"/>
    <w:rsid w:val="007E7569"/>
    <w:rsid w:val="007F0A23"/>
    <w:rsid w:val="00804038"/>
    <w:rsid w:val="00856DD9"/>
    <w:rsid w:val="00873665"/>
    <w:rsid w:val="0088655D"/>
    <w:rsid w:val="008A4026"/>
    <w:rsid w:val="008B1D5A"/>
    <w:rsid w:val="008C24DB"/>
    <w:rsid w:val="008E19D1"/>
    <w:rsid w:val="008E46AB"/>
    <w:rsid w:val="008F6656"/>
    <w:rsid w:val="00910F1B"/>
    <w:rsid w:val="009146F6"/>
    <w:rsid w:val="00925E5C"/>
    <w:rsid w:val="009415CD"/>
    <w:rsid w:val="00966089"/>
    <w:rsid w:val="009A2D06"/>
    <w:rsid w:val="009C0B1A"/>
    <w:rsid w:val="009D51FD"/>
    <w:rsid w:val="009E2223"/>
    <w:rsid w:val="009F4763"/>
    <w:rsid w:val="00A156FC"/>
    <w:rsid w:val="00A24F91"/>
    <w:rsid w:val="00A417EF"/>
    <w:rsid w:val="00A57EE9"/>
    <w:rsid w:val="00A71724"/>
    <w:rsid w:val="00A91747"/>
    <w:rsid w:val="00A94696"/>
    <w:rsid w:val="00AB213E"/>
    <w:rsid w:val="00AB6A8D"/>
    <w:rsid w:val="00AC4063"/>
    <w:rsid w:val="00AE226C"/>
    <w:rsid w:val="00B1129C"/>
    <w:rsid w:val="00B202A9"/>
    <w:rsid w:val="00B35859"/>
    <w:rsid w:val="00B46F1E"/>
    <w:rsid w:val="00B5609B"/>
    <w:rsid w:val="00B74058"/>
    <w:rsid w:val="00B76A81"/>
    <w:rsid w:val="00BA728E"/>
    <w:rsid w:val="00C04B59"/>
    <w:rsid w:val="00C6727F"/>
    <w:rsid w:val="00C93115"/>
    <w:rsid w:val="00CA30E6"/>
    <w:rsid w:val="00CD04B7"/>
    <w:rsid w:val="00CD2A08"/>
    <w:rsid w:val="00CD5B23"/>
    <w:rsid w:val="00CE1365"/>
    <w:rsid w:val="00CE35B5"/>
    <w:rsid w:val="00CF135C"/>
    <w:rsid w:val="00D2572F"/>
    <w:rsid w:val="00D40BB8"/>
    <w:rsid w:val="00D76F54"/>
    <w:rsid w:val="00D8176E"/>
    <w:rsid w:val="00D842C6"/>
    <w:rsid w:val="00D940C7"/>
    <w:rsid w:val="00D94B4D"/>
    <w:rsid w:val="00DB4C9C"/>
    <w:rsid w:val="00DB4FC7"/>
    <w:rsid w:val="00DD1A4D"/>
    <w:rsid w:val="00DD4A08"/>
    <w:rsid w:val="00DF4BCA"/>
    <w:rsid w:val="00E066F6"/>
    <w:rsid w:val="00E15C87"/>
    <w:rsid w:val="00E21BB4"/>
    <w:rsid w:val="00E45B24"/>
    <w:rsid w:val="00E63DD7"/>
    <w:rsid w:val="00E64807"/>
    <w:rsid w:val="00E65FD8"/>
    <w:rsid w:val="00E6754D"/>
    <w:rsid w:val="00E753F4"/>
    <w:rsid w:val="00EA4AEE"/>
    <w:rsid w:val="00EA7B66"/>
    <w:rsid w:val="00EB4CD9"/>
    <w:rsid w:val="00EC7EF3"/>
    <w:rsid w:val="00EF6CBD"/>
    <w:rsid w:val="00F5604A"/>
    <w:rsid w:val="00F602EA"/>
    <w:rsid w:val="00F63B83"/>
    <w:rsid w:val="00F71070"/>
    <w:rsid w:val="00F74B7E"/>
    <w:rsid w:val="00F909E8"/>
    <w:rsid w:val="00FB195A"/>
    <w:rsid w:val="00FD4D6E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EE4F-4A6B-4496-B91A-EB58E48C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paragraph" w:styleId="berschrift4">
    <w:name w:val="heading 4"/>
    <w:basedOn w:val="Standard"/>
    <w:next w:val="Standard"/>
    <w:qFormat/>
    <w:rsid w:val="00F63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basedOn w:val="Absatz-Standardschriftart"/>
    <w:semiHidden/>
    <w:rsid w:val="00EB4CD9"/>
    <w:rPr>
      <w:vertAlign w:val="superscript"/>
    </w:rPr>
  </w:style>
  <w:style w:type="table" w:customStyle="1" w:styleId="Tabellengitternetz">
    <w:name w:val="Tabellengitternetz"/>
    <w:basedOn w:val="NormaleTabelle"/>
    <w:rsid w:val="00D94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F63B83"/>
    <w:pPr>
      <w:tabs>
        <w:tab w:val="left" w:pos="-1440"/>
        <w:tab w:val="left" w:pos="-720"/>
        <w:tab w:val="left" w:pos="0"/>
        <w:tab w:val="left" w:pos="373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73"/>
      <w:jc w:val="both"/>
    </w:pPr>
    <w:rPr>
      <w:bCs/>
      <w:snapToGrid w:val="0"/>
      <w:sz w:val="24"/>
      <w:szCs w:val="19"/>
    </w:rPr>
  </w:style>
  <w:style w:type="paragraph" w:customStyle="1" w:styleId="L12">
    <w:name w:val="L1.2"/>
    <w:basedOn w:val="Text"/>
    <w:rsid w:val="00F63B83"/>
    <w:pPr>
      <w:numPr>
        <w:numId w:val="1"/>
      </w:numPr>
      <w:spacing w:before="0"/>
    </w:pPr>
  </w:style>
  <w:style w:type="paragraph" w:customStyle="1" w:styleId="Text">
    <w:name w:val="Text"/>
    <w:rsid w:val="00F63B83"/>
    <w:pPr>
      <w:spacing w:before="140" w:line="270" w:lineRule="exact"/>
      <w:jc w:val="both"/>
    </w:pPr>
    <w:rPr>
      <w:sz w:val="22"/>
    </w:rPr>
  </w:style>
  <w:style w:type="paragraph" w:customStyle="1" w:styleId="U5">
    <w:name w:val="U5"/>
    <w:basedOn w:val="Standard"/>
    <w:next w:val="Text"/>
    <w:rsid w:val="00F63B83"/>
    <w:pPr>
      <w:spacing w:before="120" w:line="280" w:lineRule="exact"/>
    </w:pPr>
    <w:rPr>
      <w:b/>
      <w:noProof/>
    </w:rPr>
  </w:style>
  <w:style w:type="paragraph" w:customStyle="1" w:styleId="Flietext">
    <w:name w:val="Fließtext"/>
    <w:basedOn w:val="Standard"/>
    <w:rsid w:val="00F63B83"/>
    <w:pPr>
      <w:spacing w:line="360" w:lineRule="auto"/>
    </w:pPr>
    <w:rPr>
      <w:sz w:val="24"/>
    </w:rPr>
  </w:style>
  <w:style w:type="paragraph" w:styleId="Sprechblasentext">
    <w:name w:val="Balloon Text"/>
    <w:basedOn w:val="Standard"/>
    <w:semiHidden/>
    <w:rsid w:val="009F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5119-4F29-4049-BDD2-9806AA4A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12</vt:lpstr>
    </vt:vector>
  </TitlesOfParts>
  <Company>HMdIS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12</dc:title>
  <dc:subject>GemHVO-Doppik</dc:subject>
  <dc:creator>SchaeferV</dc:creator>
  <cp:keywords/>
  <dc:description/>
  <cp:lastModifiedBy>Ostgen, Stephan (HMdIS)</cp:lastModifiedBy>
  <cp:revision>9</cp:revision>
  <cp:lastPrinted>2011-12-07T08:05:00Z</cp:lastPrinted>
  <dcterms:created xsi:type="dcterms:W3CDTF">2019-02-13T11:14:00Z</dcterms:created>
  <dcterms:modified xsi:type="dcterms:W3CDTF">2021-10-01T13:57:00Z</dcterms:modified>
</cp:coreProperties>
</file>